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10" w:rsidRDefault="003E4C10" w:rsidP="003E4C10">
      <w:pPr>
        <w:shd w:val="clear" w:color="auto" w:fill="FFFFFF"/>
        <w:spacing w:line="235" w:lineRule="atLeast"/>
        <w:rPr>
          <w:rFonts w:ascii="Tahoma" w:eastAsia="Times New Roman" w:hAnsi="Tahoma" w:cs="Tahoma"/>
          <w:color w:val="000000"/>
          <w:sz w:val="28"/>
          <w:szCs w:val="28"/>
          <w:lang w:eastAsia="it-IT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it-IT"/>
        </w:rPr>
        <w:t>Negli ultimi anni, i meccanismi di SA-AKI sono stati identificati in modo più preciso: da un lato, il sovraccarico idrico gioca un ruolo fondamentale nella riduzione del GFR in corso di sepsi e alcuni RCTs (es. DO-RE-MI-FA study) hanno dimostrato un’associazione diretta proprio tra il fluid overload e la mortalità, in particolare nei pazienti critici che sviluppano AKI richiedente il trattamento dialitico. Inoltre, il danno delle cellule renali residenti in corso di SA-AKI non sembra essere correlato solamente a fenomeni di ipoperfusione/ipossia come ritenuto fino a poco tempo fa, bensì a meccanismi che sono più tossici ed immunologici in natura. Infatti, alcune molecole rilasciate direttamente dai microorganismi patogeni (Pathogen Associated Molecular Patterns-PAMPs come LPS) o dalle cellule danneggiate (Damage Associated Molecular Patterns-DAMPs come HMGB-1 ) possono indurre un danno pro-apoptotico e pro-fibrotico diretto alle cellule endoteliali dei capillari peritubulari ed alle cellule epiteliali tubulari.</w:t>
      </w:r>
    </w:p>
    <w:p w:rsidR="008A03E1" w:rsidRDefault="008A03E1">
      <w:bookmarkStart w:id="0" w:name="_GoBack"/>
      <w:bookmarkEnd w:id="0"/>
    </w:p>
    <w:sectPr w:rsidR="008A03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C4"/>
    <w:rsid w:val="001507C4"/>
    <w:rsid w:val="003E4C10"/>
    <w:rsid w:val="008A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489B9-DCFA-48B3-9120-CF33E4AF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4C10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Sodano Claudia-Assistente amm.vo</dc:creator>
  <cp:keywords/>
  <dc:description/>
  <cp:lastModifiedBy>Sodano Claudia-Assistente amm.vo</cp:lastModifiedBy>
  <cp:revision>2</cp:revision>
  <dcterms:created xsi:type="dcterms:W3CDTF">2022-11-11T12:23:00Z</dcterms:created>
  <dcterms:modified xsi:type="dcterms:W3CDTF">2022-11-11T12:23:00Z</dcterms:modified>
</cp:coreProperties>
</file>