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10" w:rsidRDefault="003E4C10" w:rsidP="003E4C10">
      <w:pPr>
        <w:shd w:val="clear" w:color="auto" w:fill="FFFFFF"/>
        <w:spacing w:line="235" w:lineRule="atLeast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Negli ultimi anni, i meccanismi di SA-AKI sono stati identificati in modo più preciso: da un lato, il sovraccarico idrico gioca un ruolo fondamentale nella riduzione del GFR in corso di sepsi e alcuni RCTs (es. DO-RE-MI-FA study) hanno dimostrato un’associazione diretta proprio tra il fluid overload e la mortalità, in particolare nei pazienti critici che sviluppano AKI richiedente il trattamento dialitico. Inoltre, il danno delle cellule renali residenti in corso di SA-AKI non sembra essere correlato solamente a fenomeni di ipoperfusione/ipossia come ritenuto fino a poco tempo fa, bensì a meccanismi che sono più tossici ed immunologici in natura. Infatti, alcune molecole rilasciate direttamente dai microorganismi patogeni (Pathogen Associated Molecular Patterns-PAMPs come LPS) o dalle cellule danneggiate (Damage Associated Molecular Patterns-DAMPs come HMGB-1 ) possono indurre un danno pro-apoptotico e pro-fibrotico diretto alle cellule endoteliali dei capillari peritubulari ed alle cellule epiteliali tubulari.</w:t>
      </w:r>
    </w:p>
    <w:p w:rsidR="008A03E1" w:rsidRDefault="008A03E1">
      <w:bookmarkStart w:id="0" w:name="_GoBack"/>
      <w:bookmarkEnd w:id="0"/>
    </w:p>
    <w:sectPr w:rsidR="008A0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C4"/>
    <w:rsid w:val="001507C4"/>
    <w:rsid w:val="003E4C10"/>
    <w:rsid w:val="008A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489B9-DCFA-48B3-9120-CF33E4A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C10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Sodano Claudia-Assistente amm.vo</dc:creator>
  <cp:keywords/>
  <dc:description/>
  <cp:lastModifiedBy>Sodano Claudia-Assistente amm.vo</cp:lastModifiedBy>
  <cp:revision>2</cp:revision>
  <dcterms:created xsi:type="dcterms:W3CDTF">2022-11-11T12:23:00Z</dcterms:created>
  <dcterms:modified xsi:type="dcterms:W3CDTF">2022-11-11T12:23:00Z</dcterms:modified>
</cp:coreProperties>
</file>